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SOL-O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91 x 242 x 38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4007841052966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Tension d'alimentation détails: solaire, indépend. du réseau, Batterie lithium-phosphate de fer 2000 mAh</w:t>
      </w:r>
      <w:br/>
      <w:r>
        <w:rPr/>
        <w:t xml:space="preserve">• Hauteur de montage max.: 2,50 m</w:t>
      </w:r>
      <w:br/>
      <w:r>
        <w:rPr/>
        <w:t xml:space="preserve">• Interrupteur crépusculaire: Oui</w:t>
      </w:r>
      <w:br/>
      <w:r>
        <w:rPr/>
        <w:t xml:space="preserve">• Flux lumineux total du produit: 7 lm</w:t>
      </w:r>
      <w:br/>
      <w:r>
        <w:rPr/>
        <w:t xml:space="preserve">• Flux lumineux mesure (360°): 7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lumière</w:t>
      </w:r>
      <w:br/>
      <w:r>
        <w:rPr/>
        <w:t xml:space="preserve">• Réglage crépusculaire: 2 lx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Puissance: 0,07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052966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SOL-O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2026-04-16T01:00:04+02:00</dcterms:created>
  <dcterms:modified xsi:type="dcterms:W3CDTF">2026-04-16T01:00:04+02:00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